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42C" w:rsidRDefault="009F342C" w:rsidP="009F342C">
      <w:r>
        <w:t>Women</w:t>
      </w:r>
    </w:p>
    <w:p w:rsidR="00EE3591" w:rsidRDefault="009F342C" w:rsidP="009F342C">
      <w:r>
        <w:t>The role of many women in towns was very different to the role of women in the countryside. They were no longer at the centre of the nuclear family, and were far more prominent in towns. They were sometimes employed as domestics, served in shops and ale-houses, and marketed produce.</w:t>
      </w:r>
      <w:bookmarkStart w:id="0" w:name="_GoBack"/>
      <w:bookmarkEnd w:id="0"/>
    </w:p>
    <w:sectPr w:rsidR="00EE35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42C"/>
    <w:rsid w:val="000371E7"/>
    <w:rsid w:val="00243C42"/>
    <w:rsid w:val="009F34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Words>
  <Characters>247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Lincolnshire County Council</Company>
  <LinksUpToDate>false</LinksUpToDate>
  <CharactersWithSpaces>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Grundy</dc:creator>
  <cp:lastModifiedBy>Sarah Grundy</cp:lastModifiedBy>
  <cp:revision>1</cp:revision>
  <dcterms:created xsi:type="dcterms:W3CDTF">2021-02-05T17:32:00Z</dcterms:created>
  <dcterms:modified xsi:type="dcterms:W3CDTF">2021-02-05T17:32:00Z</dcterms:modified>
</cp:coreProperties>
</file>